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2892848E" w:rsidR="00D819BB" w:rsidRDefault="008C784A" w:rsidP="00B01F03">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D77483">
      <w:pPr>
        <w:spacing w:before="120" w:after="120" w:line="216" w:lineRule="auto"/>
        <w:jc w:val="center"/>
        <w:rPr>
          <w:sz w:val="20"/>
          <w:szCs w:val="20"/>
        </w:rPr>
      </w:pPr>
    </w:p>
    <w:p w14:paraId="678D94E8" w14:textId="77777777" w:rsidR="00550262" w:rsidRPr="005023E6" w:rsidRDefault="00550262" w:rsidP="00550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r w:rsidRPr="005023E6">
        <w:rPr>
          <w:rFonts w:cs="Tahoma"/>
          <w:sz w:val="20"/>
          <w:szCs w:val="19"/>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3D96680A" w14:textId="77777777" w:rsidR="00550262" w:rsidRPr="005023E6" w:rsidRDefault="00550262" w:rsidP="005502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p>
    <w:p w14:paraId="4E2226B7" w14:textId="77777777" w:rsidR="00550262" w:rsidRPr="005023E6" w:rsidRDefault="00550262" w:rsidP="00550262">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r w:rsidRPr="005023E6">
        <w:rPr>
          <w:rFonts w:eastAsia="Times New Roman"/>
          <w:sz w:val="20"/>
        </w:rPr>
        <w:t>Plan for and learn from the use of public recording space through the following steps:</w:t>
      </w:r>
    </w:p>
    <w:p w14:paraId="0F342794" w14:textId="77777777" w:rsidR="00550262" w:rsidRPr="005023E6" w:rsidRDefault="00550262" w:rsidP="005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sz w:val="20"/>
        </w:rPr>
      </w:pPr>
    </w:p>
    <w:p w14:paraId="5EDF1E39" w14:textId="77777777" w:rsidR="00550262" w:rsidRPr="005023E6" w:rsidRDefault="00550262" w:rsidP="00550262">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023E6">
        <w:rPr>
          <w:rFonts w:eastAsia="Times New Roman"/>
          <w:sz w:val="20"/>
        </w:rPr>
        <w:t xml:space="preserve">Develop a plan for public recording space that is linked to steps in a lesson plan. </w:t>
      </w:r>
    </w:p>
    <w:p w14:paraId="30975929" w14:textId="77777777" w:rsidR="00550262" w:rsidRPr="005023E6" w:rsidRDefault="00550262" w:rsidP="0055026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39443550" w14:textId="77777777" w:rsidR="00550262" w:rsidRPr="005023E6" w:rsidRDefault="00550262" w:rsidP="00550262">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023E6">
        <w:rPr>
          <w:rFonts w:eastAsia="Times New Roman"/>
          <w:sz w:val="20"/>
        </w:rPr>
        <w:t xml:space="preserve">Enact the plan by encouraging students to represent and connect representations and using what is </w:t>
      </w:r>
      <w:r>
        <w:rPr>
          <w:rFonts w:eastAsia="Times New Roman"/>
          <w:sz w:val="20"/>
        </w:rPr>
        <w:t xml:space="preserve">publicly </w:t>
      </w:r>
      <w:r w:rsidRPr="005023E6">
        <w:rPr>
          <w:rFonts w:eastAsia="Times New Roman"/>
          <w:sz w:val="20"/>
        </w:rPr>
        <w:t xml:space="preserve">recorded </w:t>
      </w:r>
      <w:r>
        <w:rPr>
          <w:rFonts w:eastAsia="Times New Roman"/>
          <w:sz w:val="20"/>
        </w:rPr>
        <w:t>to</w:t>
      </w:r>
      <w:r w:rsidRPr="005023E6">
        <w:rPr>
          <w:rFonts w:eastAsia="Times New Roman"/>
          <w:sz w:val="20"/>
        </w:rPr>
        <w:t xml:space="preserve"> summariz</w:t>
      </w:r>
      <w:r>
        <w:rPr>
          <w:rFonts w:eastAsia="Times New Roman"/>
          <w:sz w:val="20"/>
        </w:rPr>
        <w:t>e</w:t>
      </w:r>
      <w:r w:rsidRPr="005023E6">
        <w:rPr>
          <w:rFonts w:eastAsia="Times New Roman"/>
          <w:sz w:val="20"/>
        </w:rPr>
        <w:t xml:space="preserve"> the lesson.</w:t>
      </w:r>
    </w:p>
    <w:p w14:paraId="08BE197B" w14:textId="77777777" w:rsidR="00550262" w:rsidRPr="005023E6" w:rsidRDefault="00550262" w:rsidP="0055026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7FE427DF" w14:textId="77777777" w:rsidR="00550262" w:rsidRPr="005023E6" w:rsidRDefault="00550262" w:rsidP="00550262">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Pr>
          <w:rFonts w:eastAsia="Times New Roman"/>
          <w:sz w:val="20"/>
        </w:rPr>
        <w:t>Try k</w:t>
      </w:r>
      <w:r w:rsidRPr="005023E6">
        <w:rPr>
          <w:rFonts w:eastAsia="Times New Roman"/>
          <w:sz w:val="20"/>
        </w:rPr>
        <w:t>eep</w:t>
      </w:r>
      <w:r>
        <w:rPr>
          <w:rFonts w:eastAsia="Times New Roman"/>
          <w:sz w:val="20"/>
        </w:rPr>
        <w:t>ing</w:t>
      </w:r>
      <w:r w:rsidRPr="005023E6">
        <w:rPr>
          <w:rFonts w:eastAsia="Times New Roman"/>
          <w:sz w:val="20"/>
        </w:rPr>
        <w:t xml:space="preserve"> track of your decisions and moves when the recordings are made:</w:t>
      </w:r>
    </w:p>
    <w:p w14:paraId="6EDA8BF2" w14:textId="77777777" w:rsidR="00550262" w:rsidRPr="005023E6" w:rsidRDefault="00550262" w:rsidP="00550262">
      <w:pPr>
        <w:widowControl w:val="0"/>
        <w:numPr>
          <w:ilvl w:val="2"/>
          <w:numId w:val="19"/>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440"/>
        <w:rPr>
          <w:rFonts w:eastAsia="Times New Roman"/>
          <w:sz w:val="20"/>
        </w:rPr>
      </w:pPr>
      <w:r w:rsidRPr="005023E6">
        <w:rPr>
          <w:rFonts w:eastAsia="Times New Roman"/>
          <w:sz w:val="20"/>
        </w:rPr>
        <w:t>Whom you call on to do what, and why</w:t>
      </w:r>
    </w:p>
    <w:p w14:paraId="5137BF85" w14:textId="77777777" w:rsidR="00550262" w:rsidRPr="005023E6" w:rsidRDefault="00550262" w:rsidP="00550262">
      <w:pPr>
        <w:widowControl w:val="0"/>
        <w:numPr>
          <w:ilvl w:val="2"/>
          <w:numId w:val="19"/>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440"/>
        <w:rPr>
          <w:rFonts w:eastAsia="Times New Roman"/>
          <w:sz w:val="20"/>
        </w:rPr>
      </w:pPr>
      <w:r w:rsidRPr="005023E6">
        <w:rPr>
          <w:rFonts w:eastAsia="Times New Roman"/>
          <w:sz w:val="20"/>
        </w:rPr>
        <w:t>When you use the board or have students place work on the board</w:t>
      </w:r>
    </w:p>
    <w:p w14:paraId="62BB2DDA" w14:textId="77777777" w:rsidR="00550262" w:rsidRPr="005023E6" w:rsidRDefault="00550262" w:rsidP="00550262">
      <w:pPr>
        <w:widowControl w:val="0"/>
        <w:numPr>
          <w:ilvl w:val="2"/>
          <w:numId w:val="19"/>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440"/>
        <w:rPr>
          <w:rFonts w:eastAsia="Times New Roman"/>
          <w:sz w:val="20"/>
        </w:rPr>
      </w:pPr>
      <w:r w:rsidRPr="005023E6">
        <w:rPr>
          <w:rFonts w:eastAsia="Times New Roman"/>
          <w:sz w:val="20"/>
        </w:rPr>
        <w:t>How you use the representations</w:t>
      </w:r>
    </w:p>
    <w:p w14:paraId="41DAEA8C" w14:textId="77777777" w:rsidR="00550262" w:rsidRPr="005023E6" w:rsidRDefault="00550262" w:rsidP="005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0664DB59" w14:textId="77777777" w:rsidR="00550262" w:rsidRPr="005023E6" w:rsidRDefault="00550262" w:rsidP="00550262">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023E6">
        <w:rPr>
          <w:rFonts w:eastAsia="Times New Roman"/>
          <w:sz w:val="20"/>
        </w:rPr>
        <w:t xml:space="preserve">After the discussion take enough </w:t>
      </w:r>
      <w:r>
        <w:rPr>
          <w:rFonts w:eastAsia="Times New Roman"/>
          <w:sz w:val="20"/>
        </w:rPr>
        <w:t>photos</w:t>
      </w:r>
      <w:r w:rsidRPr="005023E6">
        <w:rPr>
          <w:rFonts w:eastAsia="Times New Roman"/>
          <w:sz w:val="20"/>
        </w:rPr>
        <w:t xml:space="preserve"> of the public recording space so you can get a sense of the whole space and also read what is written.</w:t>
      </w:r>
    </w:p>
    <w:p w14:paraId="663F9AAE" w14:textId="77777777" w:rsidR="00550262" w:rsidRPr="005023E6" w:rsidRDefault="00550262" w:rsidP="0055026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311DEBA4" w14:textId="77777777" w:rsidR="00550262" w:rsidRPr="005023E6" w:rsidRDefault="00550262" w:rsidP="00550262">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023E6">
        <w:rPr>
          <w:rFonts w:eastAsia="Times New Roman"/>
          <w:sz w:val="20"/>
        </w:rPr>
        <w:t xml:space="preserve">Reflect on how well the recordings on the board align with your plan and the purpose of the lesson, as well as the clarity and organization of the board. Also comment on what sorts of records of your teaching </w:t>
      </w:r>
      <w:r>
        <w:rPr>
          <w:rFonts w:eastAsia="Times New Roman"/>
          <w:sz w:val="20"/>
        </w:rPr>
        <w:t xml:space="preserve">(your plan, the photos, etc.) </w:t>
      </w:r>
      <w:r w:rsidRPr="005023E6">
        <w:rPr>
          <w:rFonts w:eastAsia="Times New Roman"/>
          <w:sz w:val="20"/>
        </w:rPr>
        <w:t>helped you study your own practice in helpful detail, engagement of students, organization, and clarity.</w:t>
      </w:r>
    </w:p>
    <w:p w14:paraId="63E5B1AA" w14:textId="77777777" w:rsidR="00550262" w:rsidRPr="005023E6" w:rsidRDefault="00550262" w:rsidP="00550262">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7DDDC4B5" w14:textId="77777777" w:rsidR="00550262" w:rsidRPr="005023E6" w:rsidRDefault="00550262" w:rsidP="00550262">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023E6">
        <w:rPr>
          <w:rFonts w:eastAsia="Times New Roman"/>
          <w:sz w:val="20"/>
        </w:rPr>
        <w:t>Upload the plan, images, and reflection for use in the next session.</w:t>
      </w:r>
    </w:p>
    <w:p w14:paraId="3FD060EB" w14:textId="77777777" w:rsidR="00550262" w:rsidRPr="005023E6" w:rsidRDefault="00550262" w:rsidP="005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3822F94E" w14:textId="42A9F787" w:rsidR="00550262" w:rsidRPr="005023E6" w:rsidRDefault="00550262" w:rsidP="005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sz w:val="20"/>
        </w:rPr>
      </w:pPr>
      <w:r w:rsidRPr="005023E6">
        <w:rPr>
          <w:rFonts w:eastAsia="Times New Roman"/>
          <w:sz w:val="20"/>
        </w:rPr>
        <w:t xml:space="preserve">NOTE: An example of a lesson plan, picture of the public recording space, and reflection can be found in the </w:t>
      </w:r>
      <w:r w:rsidR="00005D52">
        <w:rPr>
          <w:rFonts w:eastAsia="Times New Roman"/>
          <w:sz w:val="20"/>
        </w:rPr>
        <w:t>Session 6 Planner.</w:t>
      </w:r>
    </w:p>
    <w:p w14:paraId="40577A77" w14:textId="77777777" w:rsidR="00550262" w:rsidRPr="005023E6" w:rsidRDefault="00550262" w:rsidP="005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21674393" w14:textId="77777777" w:rsidR="008C784A" w:rsidRDefault="008C784A">
      <w:pPr>
        <w:rPr>
          <w:rFonts w:eastAsia="Times New Roman"/>
          <w:sz w:val="20"/>
        </w:rPr>
      </w:pPr>
      <w:r>
        <w:rPr>
          <w:rFonts w:eastAsia="Times New Roman"/>
          <w:sz w:val="20"/>
        </w:rPr>
        <w:br w:type="page"/>
      </w:r>
    </w:p>
    <w:p w14:paraId="7701F78D" w14:textId="681CCF9D" w:rsidR="00550262" w:rsidRPr="002958BF" w:rsidRDefault="00550262" w:rsidP="00550262">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i/>
          <w:sz w:val="20"/>
        </w:rPr>
      </w:pPr>
      <w:r w:rsidRPr="005023E6">
        <w:rPr>
          <w:rFonts w:eastAsia="Times New Roman"/>
          <w:sz w:val="20"/>
        </w:rPr>
        <w:lastRenderedPageBreak/>
        <w:t xml:space="preserve">Read the chapter on using the blackboard effectively by Makoto Yoshida (2005) from the book </w:t>
      </w:r>
      <w:r w:rsidRPr="005023E6">
        <w:rPr>
          <w:rFonts w:eastAsia="Times New Roman"/>
          <w:i/>
          <w:sz w:val="20"/>
        </w:rPr>
        <w:t>Building our Understanding of Lesson Study</w:t>
      </w:r>
      <w:r w:rsidRPr="005023E6">
        <w:rPr>
          <w:rFonts w:eastAsia="Times New Roman"/>
          <w:sz w:val="20"/>
        </w:rPr>
        <w:t xml:space="preserve">. </w:t>
      </w:r>
      <w:r w:rsidR="00005D52" w:rsidRPr="00F04379">
        <w:rPr>
          <w:i/>
          <w:color w:val="FF0000"/>
          <w:sz w:val="20"/>
        </w:rPr>
        <w:t>The information about this reading can be found in the Professional Readings list, that can be access</w:t>
      </w:r>
      <w:r w:rsidR="00005D52">
        <w:rPr>
          <w:i/>
          <w:color w:val="FF0000"/>
          <w:sz w:val="20"/>
        </w:rPr>
        <w:t>ed</w:t>
      </w:r>
      <w:r w:rsidR="00005D52" w:rsidRPr="00F04379">
        <w:rPr>
          <w:i/>
          <w:color w:val="FF0000"/>
          <w:sz w:val="20"/>
        </w:rPr>
        <w:t xml:space="preserve"> </w:t>
      </w:r>
      <w:r w:rsidR="00A0142F">
        <w:rPr>
          <w:i/>
          <w:color w:val="FF0000"/>
          <w:sz w:val="20"/>
        </w:rPr>
        <w:t>by facilitators in the Session 6</w:t>
      </w:r>
      <w:bookmarkStart w:id="0" w:name="_GoBack"/>
      <w:bookmarkEnd w:id="0"/>
      <w:r w:rsidR="00005D52" w:rsidRPr="00F04379">
        <w:rPr>
          <w:i/>
          <w:color w:val="FF0000"/>
          <w:sz w:val="20"/>
        </w:rPr>
        <w:t xml:space="preserve"> Planner.</w:t>
      </w:r>
      <w:r w:rsidRPr="005023E6">
        <w:rPr>
          <w:rFonts w:eastAsia="Times New Roman"/>
          <w:sz w:val="20"/>
        </w:rPr>
        <w:t xml:space="preserve"> It describes the use of public recording space by Japanese teachers. Notice the ways in which he connects planning </w:t>
      </w:r>
      <w:r>
        <w:rPr>
          <w:rFonts w:eastAsia="Times New Roman"/>
          <w:sz w:val="20"/>
        </w:rPr>
        <w:t xml:space="preserve">for </w:t>
      </w:r>
      <w:r w:rsidRPr="005023E6">
        <w:rPr>
          <w:rFonts w:eastAsia="Times New Roman"/>
          <w:sz w:val="20"/>
        </w:rPr>
        <w:t>and the use of the board, as well as the multiple uses that Japanese teachers have for representations in public recording space.</w:t>
      </w:r>
    </w:p>
    <w:p w14:paraId="2182D1A3" w14:textId="77777777" w:rsidR="00550262" w:rsidRPr="005023E6" w:rsidRDefault="00550262" w:rsidP="005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i/>
          <w:sz w:val="20"/>
        </w:rPr>
      </w:pPr>
    </w:p>
    <w:p w14:paraId="32B125F8" w14:textId="77777777" w:rsidR="00550262" w:rsidRPr="005023E6" w:rsidRDefault="00550262" w:rsidP="00550262">
      <w:pPr>
        <w:spacing w:before="120" w:after="120"/>
        <w:ind w:left="1080" w:hanging="360"/>
        <w:rPr>
          <w:sz w:val="20"/>
        </w:rPr>
      </w:pPr>
      <w:r w:rsidRPr="005023E6">
        <w:rPr>
          <w:sz w:val="20"/>
        </w:rPr>
        <w:t xml:space="preserve">a) </w:t>
      </w:r>
      <w:r w:rsidRPr="005023E6">
        <w:rPr>
          <w:sz w:val="20"/>
        </w:rPr>
        <w:tab/>
        <w:t xml:space="preserve">A major point in the Yoshida article is that during a lesson one should not erase/remove something has been recorded in a public space. </w:t>
      </w:r>
    </w:p>
    <w:p w14:paraId="510A6712" w14:textId="77777777" w:rsidR="00550262" w:rsidRPr="005023E6" w:rsidDel="005023E6" w:rsidRDefault="00550262" w:rsidP="00550262">
      <w:pPr>
        <w:pStyle w:val="ColorfulList-Accent11"/>
        <w:numPr>
          <w:ilvl w:val="0"/>
          <w:numId w:val="20"/>
        </w:numPr>
        <w:spacing w:before="120" w:after="120"/>
        <w:ind w:left="1440"/>
        <w:rPr>
          <w:sz w:val="20"/>
        </w:rPr>
      </w:pPr>
      <w:r w:rsidRPr="005023E6">
        <w:rPr>
          <w:sz w:val="20"/>
        </w:rPr>
        <w:t>What are the affordances of this “no-erase/remove” policy?</w:t>
      </w:r>
    </w:p>
    <w:p w14:paraId="1720FE6D" w14:textId="77777777" w:rsidR="00550262" w:rsidRPr="005023E6" w:rsidDel="005023E6" w:rsidRDefault="00550262" w:rsidP="00550262">
      <w:pPr>
        <w:pStyle w:val="ColorfulList-Accent11"/>
        <w:numPr>
          <w:ilvl w:val="0"/>
          <w:numId w:val="20"/>
        </w:numPr>
        <w:spacing w:before="120" w:after="120"/>
        <w:ind w:left="1440"/>
        <w:rPr>
          <w:sz w:val="20"/>
        </w:rPr>
      </w:pPr>
      <w:r w:rsidRPr="005023E6">
        <w:rPr>
          <w:sz w:val="20"/>
        </w:rPr>
        <w:t>What drawbacks are there to not erasing/removing written material?</w:t>
      </w:r>
    </w:p>
    <w:p w14:paraId="67CD49C0" w14:textId="77777777" w:rsidR="00550262" w:rsidRPr="005023E6" w:rsidRDefault="00550262" w:rsidP="00550262">
      <w:pPr>
        <w:pStyle w:val="ColorfulList-Accent11"/>
        <w:numPr>
          <w:ilvl w:val="0"/>
          <w:numId w:val="20"/>
        </w:numPr>
        <w:spacing w:before="120" w:after="120"/>
        <w:ind w:left="1440"/>
        <w:rPr>
          <w:sz w:val="20"/>
        </w:rPr>
      </w:pPr>
      <w:r w:rsidRPr="005023E6">
        <w:rPr>
          <w:sz w:val="20"/>
        </w:rPr>
        <w:t>What are the implications of this policy for the use of overhead</w:t>
      </w:r>
      <w:r>
        <w:rPr>
          <w:sz w:val="20"/>
        </w:rPr>
        <w:t xml:space="preserve"> projectors,</w:t>
      </w:r>
      <w:r w:rsidRPr="005023E6">
        <w:rPr>
          <w:sz w:val="20"/>
        </w:rPr>
        <w:t xml:space="preserve"> document projectors </w:t>
      </w:r>
      <w:r>
        <w:rPr>
          <w:sz w:val="20"/>
        </w:rPr>
        <w:t>or</w:t>
      </w:r>
      <w:r w:rsidRPr="005023E6">
        <w:rPr>
          <w:sz w:val="20"/>
        </w:rPr>
        <w:t xml:space="preserve"> “smart” boards”?</w:t>
      </w:r>
    </w:p>
    <w:p w14:paraId="499346C2" w14:textId="77777777" w:rsidR="00550262" w:rsidRPr="005023E6" w:rsidRDefault="00550262" w:rsidP="00550262">
      <w:pPr>
        <w:spacing w:before="120" w:after="120"/>
        <w:ind w:left="1800" w:hanging="360"/>
        <w:rPr>
          <w:sz w:val="20"/>
        </w:rPr>
      </w:pPr>
    </w:p>
    <w:p w14:paraId="320E4B8E" w14:textId="77777777" w:rsidR="00550262" w:rsidRPr="005023E6" w:rsidRDefault="00550262" w:rsidP="00550262">
      <w:pPr>
        <w:spacing w:before="120" w:after="120"/>
        <w:ind w:left="1080" w:hanging="360"/>
        <w:rPr>
          <w:sz w:val="20"/>
        </w:rPr>
      </w:pPr>
      <w:r w:rsidRPr="005023E6">
        <w:rPr>
          <w:sz w:val="20"/>
        </w:rPr>
        <w:t>b)</w:t>
      </w:r>
      <w:r w:rsidRPr="005023E6">
        <w:rPr>
          <w:sz w:val="20"/>
        </w:rPr>
        <w:tab/>
        <w:t>In Table 10.1 of the Yoshida article is a list of the ways Japanese teachers use blackboards. On which of these practices do you think you will focus in your plans for your recordings in public recording space and why?</w:t>
      </w:r>
    </w:p>
    <w:p w14:paraId="1A6743EA" w14:textId="55449856" w:rsidR="00635887" w:rsidRPr="00CB759C" w:rsidRDefault="00635887" w:rsidP="00A516A8">
      <w:pPr>
        <w:spacing w:after="120"/>
        <w:rPr>
          <w:sz w:val="20"/>
        </w:rPr>
      </w:pPr>
    </w:p>
    <w:sectPr w:rsidR="00635887" w:rsidRPr="00CB759C" w:rsidSect="004B43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6735" w14:textId="77777777" w:rsidR="00FE0CE6" w:rsidRDefault="00FE0CE6">
      <w:r>
        <w:separator/>
      </w:r>
    </w:p>
  </w:endnote>
  <w:endnote w:type="continuationSeparator" w:id="0">
    <w:p w14:paraId="3A3FB488" w14:textId="77777777" w:rsidR="00FE0CE6" w:rsidRDefault="00FE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B9ECE" w14:textId="77777777" w:rsidR="00FE0CE6" w:rsidRDefault="00FE0CE6">
      <w:r>
        <w:separator/>
      </w:r>
    </w:p>
  </w:footnote>
  <w:footnote w:type="continuationSeparator" w:id="0">
    <w:p w14:paraId="4E0CCAF8" w14:textId="77777777" w:rsidR="00FE0CE6" w:rsidRDefault="00FE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570767">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FE753A" w:rsidRDefault="00EB3366" w:rsidP="007F3A82">
          <w:pPr>
            <w:pStyle w:val="Header"/>
            <w:tabs>
              <w:tab w:val="clear" w:pos="4320"/>
              <w:tab w:val="clear" w:pos="8640"/>
            </w:tabs>
            <w:rPr>
              <w:rFonts w:cs="Tahoma"/>
              <w:sz w:val="20"/>
              <w:szCs w:val="20"/>
            </w:rPr>
          </w:pPr>
        </w:p>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1ECC4D63"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B01F03">
            <w:rPr>
              <w:rFonts w:cs="Tahoma"/>
              <w:b/>
              <w:sz w:val="20"/>
              <w:szCs w:val="20"/>
            </w:rPr>
            <w:t>6: Using public recording space</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47193F"/>
    <w:multiLevelType w:val="hybridMultilevel"/>
    <w:tmpl w:val="D1B23618"/>
    <w:lvl w:ilvl="0" w:tplc="537A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5B048E"/>
    <w:multiLevelType w:val="hybridMultilevel"/>
    <w:tmpl w:val="DAB25D4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843DF"/>
    <w:multiLevelType w:val="hybridMultilevel"/>
    <w:tmpl w:val="EF16C56A"/>
    <w:lvl w:ilvl="0" w:tplc="1DCC7AEE">
      <w:start w:val="1"/>
      <w:numFmt w:val="decimal"/>
      <w:lvlText w:val="%1."/>
      <w:lvlJc w:val="left"/>
      <w:pPr>
        <w:ind w:left="720" w:hanging="360"/>
      </w:pPr>
      <w:rPr>
        <w:i w:val="0"/>
      </w:rPr>
    </w:lvl>
    <w:lvl w:ilvl="1" w:tplc="851E395A">
      <w:start w:val="1"/>
      <w:numFmt w:val="lowerLetter"/>
      <w:lvlText w:val="%2)"/>
      <w:lvlJc w:val="left"/>
      <w:pPr>
        <w:tabs>
          <w:tab w:val="num" w:pos="1440"/>
        </w:tabs>
        <w:ind w:left="1440" w:hanging="360"/>
      </w:pPr>
      <w:rPr>
        <w:rFonts w:hint="default"/>
      </w:rPr>
    </w:lvl>
    <w:lvl w:ilvl="2" w:tplc="04090005">
      <w:start w:val="1"/>
      <w:numFmt w:val="bullet"/>
      <w:lvlText w:val=""/>
      <w:lvlJc w:val="left"/>
      <w:pPr>
        <w:ind w:left="2340" w:hanging="360"/>
      </w:pPr>
      <w:rPr>
        <w:rFonts w:ascii="Wingdings" w:hAnsi="Wingdings" w:hint="default"/>
      </w:r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4555"/>
    <w:multiLevelType w:val="hybridMultilevel"/>
    <w:tmpl w:val="1D7A43C4"/>
    <w:lvl w:ilvl="0" w:tplc="0409000F">
      <w:start w:val="1"/>
      <w:numFmt w:val="decimal"/>
      <w:lvlText w:val="%1."/>
      <w:lvlJc w:val="left"/>
      <w:pPr>
        <w:ind w:left="720" w:hanging="360"/>
      </w:pPr>
      <w:rPr>
        <w:rFonts w:hint="default"/>
      </w:rPr>
    </w:lvl>
    <w:lvl w:ilvl="1" w:tplc="0017040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8F16EE"/>
    <w:multiLevelType w:val="hybridMultilevel"/>
    <w:tmpl w:val="B0E26F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3A3"/>
    <w:multiLevelType w:val="hybridMultilevel"/>
    <w:tmpl w:val="7020091E"/>
    <w:lvl w:ilvl="0" w:tplc="851E395A">
      <w:start w:val="1"/>
      <w:numFmt w:val="lowerLetter"/>
      <w:lvlText w:val="%1)"/>
      <w:lvlJc w:val="left"/>
      <w:pPr>
        <w:tabs>
          <w:tab w:val="num" w:pos="1440"/>
        </w:tabs>
        <w:ind w:left="1440" w:hanging="360"/>
      </w:pPr>
      <w:rPr>
        <w:rFonts w:hint="default"/>
      </w:rPr>
    </w:lvl>
    <w:lvl w:ilvl="1" w:tplc="851E395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747925"/>
    <w:multiLevelType w:val="hybridMultilevel"/>
    <w:tmpl w:val="26F62BF6"/>
    <w:lvl w:ilvl="0" w:tplc="851E39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425DD"/>
    <w:multiLevelType w:val="hybridMultilevel"/>
    <w:tmpl w:val="500412FE"/>
    <w:lvl w:ilvl="0" w:tplc="5C8CBC9C">
      <w:start w:val="1"/>
      <w:numFmt w:val="decimal"/>
      <w:lvlText w:val="%1."/>
      <w:lvlJc w:val="left"/>
      <w:pPr>
        <w:ind w:left="720" w:hanging="360"/>
      </w:pPr>
      <w:rPr>
        <w:i w:val="0"/>
        <w:sz w:val="20"/>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1"/>
  </w:num>
  <w:num w:numId="5">
    <w:abstractNumId w:val="2"/>
  </w:num>
  <w:num w:numId="6">
    <w:abstractNumId w:val="6"/>
  </w:num>
  <w:num w:numId="7">
    <w:abstractNumId w:val="10"/>
  </w:num>
  <w:num w:numId="8">
    <w:abstractNumId w:val="14"/>
  </w:num>
  <w:num w:numId="9">
    <w:abstractNumId w:val="12"/>
  </w:num>
  <w:num w:numId="10">
    <w:abstractNumId w:val="19"/>
  </w:num>
  <w:num w:numId="11">
    <w:abstractNumId w:val="11"/>
  </w:num>
  <w:num w:numId="12">
    <w:abstractNumId w:val="9"/>
  </w:num>
  <w:num w:numId="13">
    <w:abstractNumId w:val="16"/>
  </w:num>
  <w:num w:numId="14">
    <w:abstractNumId w:val="7"/>
  </w:num>
  <w:num w:numId="15">
    <w:abstractNumId w:val="3"/>
  </w:num>
  <w:num w:numId="16">
    <w:abstractNumId w:val="18"/>
  </w:num>
  <w:num w:numId="17">
    <w:abstractNumId w:val="17"/>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05D52"/>
    <w:rsid w:val="00010472"/>
    <w:rsid w:val="000154E3"/>
    <w:rsid w:val="00016FD5"/>
    <w:rsid w:val="00026778"/>
    <w:rsid w:val="000525D0"/>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663D2"/>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49E8"/>
    <w:rsid w:val="005463E7"/>
    <w:rsid w:val="00547F34"/>
    <w:rsid w:val="00550262"/>
    <w:rsid w:val="005539F6"/>
    <w:rsid w:val="0055697A"/>
    <w:rsid w:val="00560A77"/>
    <w:rsid w:val="00562A87"/>
    <w:rsid w:val="00570767"/>
    <w:rsid w:val="00586BA3"/>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C784A"/>
    <w:rsid w:val="008D0545"/>
    <w:rsid w:val="008D522E"/>
    <w:rsid w:val="00901884"/>
    <w:rsid w:val="0090202A"/>
    <w:rsid w:val="0090274D"/>
    <w:rsid w:val="00904848"/>
    <w:rsid w:val="00906EB6"/>
    <w:rsid w:val="00920CA2"/>
    <w:rsid w:val="00940C25"/>
    <w:rsid w:val="00944471"/>
    <w:rsid w:val="00945B22"/>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B6875"/>
    <w:rsid w:val="009C7543"/>
    <w:rsid w:val="009D6E07"/>
    <w:rsid w:val="009D6EAC"/>
    <w:rsid w:val="009E0F71"/>
    <w:rsid w:val="009E2073"/>
    <w:rsid w:val="009E4309"/>
    <w:rsid w:val="009E7844"/>
    <w:rsid w:val="009F2182"/>
    <w:rsid w:val="009F6496"/>
    <w:rsid w:val="00A0142F"/>
    <w:rsid w:val="00A05A5B"/>
    <w:rsid w:val="00A05F47"/>
    <w:rsid w:val="00A069F6"/>
    <w:rsid w:val="00A06DC9"/>
    <w:rsid w:val="00A3741F"/>
    <w:rsid w:val="00A41784"/>
    <w:rsid w:val="00A42D28"/>
    <w:rsid w:val="00A42F01"/>
    <w:rsid w:val="00A433F7"/>
    <w:rsid w:val="00A44F95"/>
    <w:rsid w:val="00A516A8"/>
    <w:rsid w:val="00A53C58"/>
    <w:rsid w:val="00A65190"/>
    <w:rsid w:val="00A75179"/>
    <w:rsid w:val="00A80DB5"/>
    <w:rsid w:val="00A82B2D"/>
    <w:rsid w:val="00A92285"/>
    <w:rsid w:val="00A9312A"/>
    <w:rsid w:val="00A93900"/>
    <w:rsid w:val="00AA36EE"/>
    <w:rsid w:val="00AA375F"/>
    <w:rsid w:val="00AA441B"/>
    <w:rsid w:val="00AC0CC9"/>
    <w:rsid w:val="00AE2576"/>
    <w:rsid w:val="00AE5B46"/>
    <w:rsid w:val="00AF1C0E"/>
    <w:rsid w:val="00B01F03"/>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27C85"/>
    <w:rsid w:val="00E3185F"/>
    <w:rsid w:val="00E31899"/>
    <w:rsid w:val="00E36E43"/>
    <w:rsid w:val="00E42922"/>
    <w:rsid w:val="00E430DD"/>
    <w:rsid w:val="00E43594"/>
    <w:rsid w:val="00E5104A"/>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0CE6"/>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ColorfulList-Accent11">
    <w:name w:val="Colorful List - Accent 11"/>
    <w:basedOn w:val="Normal"/>
    <w:qFormat/>
    <w:rsid w:val="005449E8"/>
    <w:pPr>
      <w:ind w:left="720"/>
      <w:contextualSpacing/>
    </w:pPr>
    <w:rPr>
      <w:rFonts w:eastAsia="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91D3-4576-DC40-938B-2FA3E6BF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6</cp:revision>
  <cp:lastPrinted>2011-06-07T16:03:00Z</cp:lastPrinted>
  <dcterms:created xsi:type="dcterms:W3CDTF">2018-03-16T18:00:00Z</dcterms:created>
  <dcterms:modified xsi:type="dcterms:W3CDTF">2018-07-10T19:57:00Z</dcterms:modified>
</cp:coreProperties>
</file>