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10CC1" w14:textId="19591F90" w:rsidR="00BB14B0" w:rsidRPr="00BB14B0" w:rsidRDefault="000B112B" w:rsidP="00BB14B0">
      <w:pPr>
        <w:spacing w:before="120" w:after="120"/>
        <w:jc w:val="center"/>
        <w:outlineLvl w:val="0"/>
        <w:rPr>
          <w:b/>
          <w:sz w:val="28"/>
          <w:szCs w:val="28"/>
        </w:rPr>
      </w:pPr>
      <w:r>
        <w:rPr>
          <w:b/>
          <w:sz w:val="28"/>
          <w:szCs w:val="28"/>
        </w:rPr>
        <w:t>Classroom Connection Activity</w:t>
      </w:r>
    </w:p>
    <w:p w14:paraId="0B1CA205" w14:textId="77777777" w:rsidR="00BB14B0" w:rsidRDefault="00BB14B0" w:rsidP="00BB14B0">
      <w:pPr>
        <w:widowControl w:val="0"/>
        <w:autoSpaceDE w:val="0"/>
        <w:autoSpaceDN w:val="0"/>
        <w:adjustRightInd w:val="0"/>
        <w:spacing w:before="120" w:after="120"/>
        <w:jc w:val="center"/>
        <w:rPr>
          <w:rFonts w:cs="Tahoma"/>
          <w:sz w:val="20"/>
          <w:szCs w:val="20"/>
        </w:rPr>
      </w:pPr>
    </w:p>
    <w:p w14:paraId="1C786189" w14:textId="01CDA4B1" w:rsidR="00BC6C77" w:rsidRDefault="00BC6C77" w:rsidP="00BB14B0">
      <w:pPr>
        <w:widowControl w:val="0"/>
        <w:autoSpaceDE w:val="0"/>
        <w:autoSpaceDN w:val="0"/>
        <w:adjustRightInd w:val="0"/>
        <w:spacing w:before="120" w:after="120"/>
        <w:rPr>
          <w:rFonts w:cs="Tahoma"/>
          <w:sz w:val="20"/>
          <w:szCs w:val="20"/>
        </w:rPr>
      </w:pPr>
      <w:r w:rsidRPr="00131976">
        <w:rPr>
          <w:rFonts w:cs="Tahoma"/>
          <w:sz w:val="20"/>
          <w:szCs w:val="20"/>
        </w:rPr>
        <w:t xml:space="preserve">Please engage in the following activities and bring the indicated responses or materials to our next session. Feel free to engage with colleagues in these activities; however, it will be helpful for each participant to </w:t>
      </w:r>
      <w:r w:rsidRPr="00131976">
        <w:rPr>
          <w:rFonts w:cs="Tahoma"/>
          <w:color w:val="FF0000"/>
          <w:sz w:val="20"/>
          <w:szCs w:val="20"/>
        </w:rPr>
        <w:t>(bring or upload)</w:t>
      </w:r>
      <w:r w:rsidRPr="00131976">
        <w:rPr>
          <w:rFonts w:cs="Tahoma"/>
          <w:sz w:val="20"/>
          <w:szCs w:val="20"/>
        </w:rPr>
        <w:t xml:space="preserve"> responses and materials for the next session.</w:t>
      </w:r>
    </w:p>
    <w:p w14:paraId="4933BD97" w14:textId="77777777" w:rsidR="00BB14B0" w:rsidRPr="00BB14B0" w:rsidRDefault="00BB14B0" w:rsidP="00BB14B0">
      <w:pPr>
        <w:widowControl w:val="0"/>
        <w:autoSpaceDE w:val="0"/>
        <w:autoSpaceDN w:val="0"/>
        <w:adjustRightInd w:val="0"/>
        <w:rPr>
          <w:rFonts w:cs="Tahoma"/>
          <w:sz w:val="20"/>
          <w:szCs w:val="20"/>
        </w:rPr>
      </w:pPr>
    </w:p>
    <w:p w14:paraId="51427F83" w14:textId="77777777" w:rsidR="00BC6C77" w:rsidRPr="00131976" w:rsidRDefault="00BC6C77" w:rsidP="003C17B7">
      <w:pPr>
        <w:widowControl w:val="0"/>
        <w:numPr>
          <w:ilvl w:val="0"/>
          <w:numId w:val="6"/>
        </w:numPr>
        <w:autoSpaceDE w:val="0"/>
        <w:autoSpaceDN w:val="0"/>
        <w:adjustRightInd w:val="0"/>
        <w:spacing w:before="120" w:after="120"/>
        <w:ind w:left="360"/>
        <w:rPr>
          <w:rFonts w:cs="Tahoma"/>
          <w:sz w:val="20"/>
          <w:szCs w:val="20"/>
        </w:rPr>
      </w:pPr>
      <w:r w:rsidRPr="00131976">
        <w:rPr>
          <w:rFonts w:cs="Tahoma"/>
          <w:color w:val="000000"/>
          <w:sz w:val="20"/>
          <w:szCs w:val="20"/>
          <w:u w:val="single"/>
        </w:rPr>
        <w:t>If you are sharing with your video workshop group</w:t>
      </w:r>
      <w:r w:rsidRPr="00131976">
        <w:rPr>
          <w:rFonts w:cs="Tahoma"/>
          <w:sz w:val="20"/>
          <w:szCs w:val="20"/>
          <w:u w:val="single"/>
        </w:rPr>
        <w:t xml:space="preserve"> at the next session</w:t>
      </w:r>
      <w:r w:rsidRPr="00131976">
        <w:rPr>
          <w:rFonts w:cs="Tahoma"/>
          <w:sz w:val="20"/>
          <w:szCs w:val="20"/>
        </w:rPr>
        <w:t>, select a short segment of your teaching of the Pool Border Problem to share, bring examples of student work, and also bring your responses to the reflection questions that were a part of our last CCA:</w:t>
      </w:r>
    </w:p>
    <w:p w14:paraId="63BD754C" w14:textId="0358E162" w:rsidR="00131976" w:rsidRDefault="00BC6C77" w:rsidP="003C17B7">
      <w:pPr>
        <w:numPr>
          <w:ilvl w:val="1"/>
          <w:numId w:val="6"/>
        </w:numPr>
        <w:spacing w:before="120" w:after="120"/>
        <w:ind w:left="1080"/>
        <w:rPr>
          <w:rFonts w:cs="Tahoma"/>
          <w:sz w:val="20"/>
          <w:szCs w:val="20"/>
        </w:rPr>
      </w:pPr>
      <w:r w:rsidRPr="00131976">
        <w:rPr>
          <w:rFonts w:cs="Tahoma"/>
          <w:sz w:val="20"/>
          <w:szCs w:val="20"/>
        </w:rPr>
        <w:t xml:space="preserve">How are students supporting/explaining their approaches using words, drawings, and/or tools? </w:t>
      </w:r>
    </w:p>
    <w:p w14:paraId="3485A570" w14:textId="77777777" w:rsidR="003C17B7" w:rsidRPr="003C17B7" w:rsidRDefault="003C17B7" w:rsidP="003C17B7">
      <w:pPr>
        <w:spacing w:before="120" w:after="120"/>
        <w:rPr>
          <w:rFonts w:cs="Tahoma"/>
          <w:sz w:val="20"/>
          <w:szCs w:val="20"/>
        </w:rPr>
      </w:pPr>
    </w:p>
    <w:p w14:paraId="7649DA18" w14:textId="074C6F7A" w:rsidR="00131976" w:rsidRDefault="00BC6C77" w:rsidP="003C17B7">
      <w:pPr>
        <w:numPr>
          <w:ilvl w:val="1"/>
          <w:numId w:val="6"/>
        </w:numPr>
        <w:spacing w:before="120" w:after="120"/>
        <w:ind w:left="1080"/>
        <w:rPr>
          <w:rFonts w:cs="Tahoma"/>
          <w:sz w:val="20"/>
          <w:szCs w:val="20"/>
        </w:rPr>
      </w:pPr>
      <w:r w:rsidRPr="00131976">
        <w:rPr>
          <w:rFonts w:cs="Tahoma"/>
          <w:sz w:val="20"/>
          <w:szCs w:val="20"/>
        </w:rPr>
        <w:t>What student strategies, solutions, or questions did you find interesting? Why?</w:t>
      </w:r>
    </w:p>
    <w:p w14:paraId="06289448" w14:textId="77777777" w:rsidR="003C17B7" w:rsidRPr="003C17B7" w:rsidRDefault="003C17B7" w:rsidP="003C17B7">
      <w:pPr>
        <w:spacing w:before="120" w:after="120"/>
        <w:rPr>
          <w:rFonts w:cs="Tahoma"/>
          <w:sz w:val="20"/>
          <w:szCs w:val="20"/>
        </w:rPr>
      </w:pPr>
    </w:p>
    <w:p w14:paraId="0A40C3BB" w14:textId="558D6105" w:rsidR="00131976" w:rsidRDefault="00BC6C77" w:rsidP="003C17B7">
      <w:pPr>
        <w:numPr>
          <w:ilvl w:val="1"/>
          <w:numId w:val="6"/>
        </w:numPr>
        <w:spacing w:before="120" w:after="120"/>
        <w:ind w:left="1080"/>
        <w:rPr>
          <w:rFonts w:cs="Tahoma"/>
          <w:sz w:val="20"/>
          <w:szCs w:val="20"/>
        </w:rPr>
      </w:pPr>
      <w:r w:rsidRPr="00131976">
        <w:rPr>
          <w:rFonts w:cs="Tahoma"/>
          <w:sz w:val="20"/>
          <w:szCs w:val="20"/>
        </w:rPr>
        <w:t>What teaching moves are you using to establish and maintain an environment that nurtures student reasoning practices?</w:t>
      </w:r>
    </w:p>
    <w:p w14:paraId="5DCD326C" w14:textId="77777777" w:rsidR="003C17B7" w:rsidRPr="003C17B7" w:rsidRDefault="003C17B7" w:rsidP="003C17B7">
      <w:pPr>
        <w:spacing w:before="120" w:after="120"/>
        <w:rPr>
          <w:rFonts w:cs="Tahoma"/>
          <w:sz w:val="20"/>
          <w:szCs w:val="20"/>
        </w:rPr>
      </w:pPr>
    </w:p>
    <w:p w14:paraId="48512DBD" w14:textId="77777777" w:rsidR="00BC6C77" w:rsidRPr="00131976" w:rsidRDefault="00BC6C77" w:rsidP="003C17B7">
      <w:pPr>
        <w:widowControl w:val="0"/>
        <w:autoSpaceDE w:val="0"/>
        <w:autoSpaceDN w:val="0"/>
        <w:adjustRightInd w:val="0"/>
        <w:spacing w:before="120" w:after="120"/>
        <w:rPr>
          <w:rFonts w:cs="Tahoma"/>
          <w:color w:val="FF0000"/>
          <w:sz w:val="20"/>
          <w:szCs w:val="20"/>
        </w:rPr>
      </w:pPr>
      <w:r w:rsidRPr="00131976">
        <w:rPr>
          <w:rFonts w:cs="Tahoma"/>
          <w:color w:val="FF0000"/>
          <w:sz w:val="20"/>
          <w:szCs w:val="20"/>
        </w:rPr>
        <w:t>(If participants will be sharing their video using their own laptops, include a reminder about bringing their laptops to the next session.)</w:t>
      </w:r>
    </w:p>
    <w:p w14:paraId="6D5498E7" w14:textId="77777777" w:rsidR="00BC6C77" w:rsidRPr="00131976" w:rsidRDefault="00BC6C77" w:rsidP="003C17B7">
      <w:pPr>
        <w:widowControl w:val="0"/>
        <w:autoSpaceDE w:val="0"/>
        <w:autoSpaceDN w:val="0"/>
        <w:adjustRightInd w:val="0"/>
        <w:spacing w:before="120" w:after="120"/>
        <w:rPr>
          <w:rFonts w:cs="Tahoma"/>
          <w:color w:val="FF0000"/>
          <w:sz w:val="20"/>
          <w:szCs w:val="20"/>
        </w:rPr>
      </w:pPr>
    </w:p>
    <w:p w14:paraId="617ACFAD" w14:textId="77777777" w:rsidR="00BC6C77" w:rsidRPr="00131976" w:rsidRDefault="00BC6C77" w:rsidP="003C17B7">
      <w:pPr>
        <w:widowControl w:val="0"/>
        <w:autoSpaceDE w:val="0"/>
        <w:autoSpaceDN w:val="0"/>
        <w:adjustRightInd w:val="0"/>
        <w:spacing w:before="120" w:after="120"/>
        <w:rPr>
          <w:rFonts w:cs="Tahoma"/>
          <w:sz w:val="20"/>
          <w:szCs w:val="20"/>
        </w:rPr>
      </w:pPr>
      <w:proofErr w:type="gramStart"/>
      <w:r w:rsidRPr="00131976">
        <w:rPr>
          <w:rFonts w:cs="Tahoma"/>
          <w:sz w:val="20"/>
          <w:szCs w:val="20"/>
        </w:rPr>
        <w:t>Also</w:t>
      </w:r>
      <w:proofErr w:type="gramEnd"/>
      <w:r w:rsidRPr="00131976">
        <w:rPr>
          <w:rFonts w:cs="Tahoma"/>
          <w:sz w:val="20"/>
          <w:szCs w:val="20"/>
        </w:rPr>
        <w:t xml:space="preserve"> be ready to share an overview of: </w:t>
      </w:r>
    </w:p>
    <w:p w14:paraId="3F7E0022" w14:textId="77777777" w:rsidR="00BC6C77" w:rsidRPr="00131976" w:rsidRDefault="00BC6C77" w:rsidP="003C17B7">
      <w:pPr>
        <w:widowControl w:val="0"/>
        <w:numPr>
          <w:ilvl w:val="0"/>
          <w:numId w:val="8"/>
        </w:numPr>
        <w:autoSpaceDE w:val="0"/>
        <w:autoSpaceDN w:val="0"/>
        <w:adjustRightInd w:val="0"/>
        <w:spacing w:before="120" w:after="120"/>
        <w:ind w:left="1440"/>
        <w:rPr>
          <w:rFonts w:cs="Tahoma"/>
          <w:sz w:val="20"/>
          <w:szCs w:val="20"/>
        </w:rPr>
      </w:pPr>
      <w:r w:rsidRPr="00131976">
        <w:rPr>
          <w:rFonts w:cs="Tahoma"/>
          <w:sz w:val="20"/>
          <w:szCs w:val="20"/>
        </w:rPr>
        <w:t>the version of the problem you used</w:t>
      </w:r>
    </w:p>
    <w:p w14:paraId="5FD7DB7C" w14:textId="77777777" w:rsidR="00BC6C77" w:rsidRPr="00131976" w:rsidRDefault="00BC6C77" w:rsidP="003C17B7">
      <w:pPr>
        <w:widowControl w:val="0"/>
        <w:numPr>
          <w:ilvl w:val="0"/>
          <w:numId w:val="8"/>
        </w:numPr>
        <w:autoSpaceDE w:val="0"/>
        <w:autoSpaceDN w:val="0"/>
        <w:adjustRightInd w:val="0"/>
        <w:spacing w:before="120" w:after="120"/>
        <w:ind w:left="1440"/>
        <w:rPr>
          <w:rFonts w:cs="Tahoma"/>
          <w:sz w:val="20"/>
          <w:szCs w:val="20"/>
        </w:rPr>
      </w:pPr>
      <w:r w:rsidRPr="00131976">
        <w:rPr>
          <w:rFonts w:cs="Tahoma"/>
          <w:sz w:val="20"/>
          <w:szCs w:val="20"/>
        </w:rPr>
        <w:t>the goals you had for using that problem</w:t>
      </w:r>
    </w:p>
    <w:p w14:paraId="770C1AA8" w14:textId="77777777" w:rsidR="00BC6C77" w:rsidRPr="00131976" w:rsidRDefault="00BC6C77" w:rsidP="003C17B7">
      <w:pPr>
        <w:widowControl w:val="0"/>
        <w:numPr>
          <w:ilvl w:val="0"/>
          <w:numId w:val="8"/>
        </w:numPr>
        <w:autoSpaceDE w:val="0"/>
        <w:autoSpaceDN w:val="0"/>
        <w:adjustRightInd w:val="0"/>
        <w:spacing w:before="120" w:after="120"/>
        <w:ind w:left="1440"/>
        <w:rPr>
          <w:rFonts w:cs="Tahoma"/>
          <w:sz w:val="20"/>
          <w:szCs w:val="20"/>
        </w:rPr>
      </w:pPr>
      <w:r w:rsidRPr="00131976">
        <w:rPr>
          <w:rFonts w:cs="Tahoma"/>
          <w:sz w:val="20"/>
          <w:szCs w:val="20"/>
        </w:rPr>
        <w:t>examples of students’ strategies, solutions, and questions</w:t>
      </w:r>
    </w:p>
    <w:p w14:paraId="26678D7A" w14:textId="77777777" w:rsidR="00BC6C77" w:rsidRPr="00131976" w:rsidRDefault="00BC6C77" w:rsidP="003C17B7">
      <w:pPr>
        <w:widowControl w:val="0"/>
        <w:autoSpaceDE w:val="0"/>
        <w:autoSpaceDN w:val="0"/>
        <w:adjustRightInd w:val="0"/>
        <w:spacing w:before="120" w:after="120"/>
        <w:ind w:left="1080"/>
        <w:rPr>
          <w:rFonts w:cs="Tahoma"/>
          <w:sz w:val="20"/>
          <w:szCs w:val="20"/>
        </w:rPr>
      </w:pPr>
    </w:p>
    <w:p w14:paraId="6DAB5144" w14:textId="77777777" w:rsidR="00BC6C77" w:rsidRPr="00131976" w:rsidRDefault="00BC6C77" w:rsidP="003C17B7">
      <w:pPr>
        <w:widowControl w:val="0"/>
        <w:autoSpaceDE w:val="0"/>
        <w:autoSpaceDN w:val="0"/>
        <w:adjustRightInd w:val="0"/>
        <w:spacing w:before="120" w:after="120"/>
        <w:ind w:left="360"/>
        <w:rPr>
          <w:rFonts w:cs="Tahoma"/>
          <w:sz w:val="20"/>
          <w:szCs w:val="20"/>
        </w:rPr>
      </w:pPr>
      <w:r w:rsidRPr="00131976">
        <w:rPr>
          <w:sz w:val="20"/>
          <w:szCs w:val="20"/>
          <w:u w:val="single"/>
        </w:rPr>
        <w:t>If you are not sharing with your video workshop group at the next session</w:t>
      </w:r>
      <w:r w:rsidRPr="00131976">
        <w:rPr>
          <w:sz w:val="20"/>
          <w:szCs w:val="20"/>
        </w:rPr>
        <w:t xml:space="preserve">, select a short segment of your teaching of the Pool Border Problem and the student work samples you collected. Even though you will not be sharing your video during this round of video workshop, it is still important to engage in the process that we are using for sharing classroom teaching. </w:t>
      </w:r>
      <w:r w:rsidRPr="00131976">
        <w:rPr>
          <w:rFonts w:cs="Tahoma"/>
          <w:color w:val="FF0000"/>
          <w:sz w:val="20"/>
          <w:szCs w:val="20"/>
        </w:rPr>
        <w:t>(Include the description of the method for submitting classroom records of practice that will be used for sharing examples from teaching with colleagues).</w:t>
      </w:r>
    </w:p>
    <w:p w14:paraId="605996A3" w14:textId="77777777" w:rsidR="00BC6C77" w:rsidRPr="00131976" w:rsidRDefault="00BC6C77" w:rsidP="003C17B7">
      <w:pPr>
        <w:widowControl w:val="0"/>
        <w:autoSpaceDE w:val="0"/>
        <w:autoSpaceDN w:val="0"/>
        <w:adjustRightInd w:val="0"/>
        <w:spacing w:before="120" w:after="120"/>
        <w:ind w:left="360"/>
        <w:rPr>
          <w:rFonts w:cs="Tahoma"/>
          <w:sz w:val="20"/>
          <w:szCs w:val="20"/>
        </w:rPr>
      </w:pPr>
    </w:p>
    <w:p w14:paraId="67F4CBA5" w14:textId="77777777" w:rsidR="00BC6C77" w:rsidRPr="00131976" w:rsidRDefault="00BC6C77" w:rsidP="003C17B7">
      <w:pPr>
        <w:widowControl w:val="0"/>
        <w:autoSpaceDE w:val="0"/>
        <w:autoSpaceDN w:val="0"/>
        <w:adjustRightInd w:val="0"/>
        <w:spacing w:before="120" w:after="120"/>
        <w:ind w:left="360"/>
        <w:rPr>
          <w:rFonts w:cs="Tahoma"/>
          <w:color w:val="000000"/>
          <w:sz w:val="20"/>
          <w:szCs w:val="20"/>
        </w:rPr>
      </w:pPr>
    </w:p>
    <w:p w14:paraId="4CAD96B7" w14:textId="0B2CADC9" w:rsidR="00BC6C77" w:rsidRDefault="00BC6C77" w:rsidP="003C17B7">
      <w:pPr>
        <w:widowControl w:val="0"/>
        <w:numPr>
          <w:ilvl w:val="0"/>
          <w:numId w:val="6"/>
        </w:numPr>
        <w:autoSpaceDE w:val="0"/>
        <w:autoSpaceDN w:val="0"/>
        <w:adjustRightInd w:val="0"/>
        <w:spacing w:before="120" w:after="120"/>
        <w:ind w:left="360"/>
        <w:rPr>
          <w:rFonts w:cs="Tahoma"/>
          <w:color w:val="000000"/>
          <w:sz w:val="20"/>
          <w:szCs w:val="20"/>
        </w:rPr>
      </w:pPr>
      <w:r w:rsidRPr="00131976">
        <w:rPr>
          <w:sz w:val="20"/>
          <w:szCs w:val="20"/>
        </w:rPr>
        <w:t>In our sessions, we have connected our work with the mathematical practice standards found in the Common Core State Standards for mathematics. Review the handout of key points about the Common Core State Standards mathematical practices and look at the information shared on the CCSS-M website</w:t>
      </w:r>
      <w:r w:rsidRPr="00131976">
        <w:rPr>
          <w:rFonts w:cs="Tahoma"/>
          <w:sz w:val="20"/>
          <w:szCs w:val="20"/>
        </w:rPr>
        <w:t xml:space="preserve"> (http://www.corestandards.org/Math/Practice</w:t>
      </w:r>
      <w:r w:rsidRPr="00131976">
        <w:rPr>
          <w:rStyle w:val="Hyperlink"/>
          <w:rFonts w:cs="Tahoma"/>
          <w:sz w:val="20"/>
          <w:szCs w:val="20"/>
        </w:rPr>
        <w:t>)</w:t>
      </w:r>
      <w:r w:rsidRPr="00131976">
        <w:rPr>
          <w:sz w:val="20"/>
          <w:szCs w:val="20"/>
        </w:rPr>
        <w:t xml:space="preserve">. Identify an example or two of the practices that you see in the video segment that you selected from your teaching of the Pool Border Problem and in the </w:t>
      </w:r>
      <w:proofErr w:type="gramStart"/>
      <w:r w:rsidRPr="00131976">
        <w:rPr>
          <w:sz w:val="20"/>
          <w:szCs w:val="20"/>
        </w:rPr>
        <w:t>work</w:t>
      </w:r>
      <w:proofErr w:type="gramEnd"/>
      <w:r w:rsidRPr="00131976">
        <w:rPr>
          <w:sz w:val="20"/>
          <w:szCs w:val="20"/>
        </w:rPr>
        <w:t xml:space="preserve"> you did this week on the Three-Coin Problem.</w:t>
      </w:r>
      <w:r w:rsidRPr="00131976">
        <w:rPr>
          <w:rFonts w:cs="Tahoma"/>
          <w:color w:val="000000"/>
          <w:sz w:val="20"/>
          <w:szCs w:val="20"/>
        </w:rPr>
        <w:t xml:space="preserve"> </w:t>
      </w:r>
    </w:p>
    <w:p w14:paraId="4C139E88" w14:textId="77777777" w:rsidR="00BF26E5" w:rsidRPr="00BF26E5" w:rsidRDefault="00BF26E5" w:rsidP="00BF26E5">
      <w:pPr>
        <w:widowControl w:val="0"/>
        <w:autoSpaceDE w:val="0"/>
        <w:autoSpaceDN w:val="0"/>
        <w:adjustRightInd w:val="0"/>
        <w:spacing w:before="120" w:after="120"/>
        <w:ind w:left="360"/>
        <w:rPr>
          <w:rFonts w:cs="Tahoma"/>
          <w:color w:val="000000"/>
          <w:sz w:val="20"/>
          <w:szCs w:val="20"/>
        </w:rPr>
      </w:pPr>
      <w:bookmarkStart w:id="0" w:name="_GoBack"/>
      <w:bookmarkEnd w:id="0"/>
    </w:p>
    <w:p w14:paraId="3A7BD99A" w14:textId="77777777" w:rsidR="00BC6C77" w:rsidRPr="00131976" w:rsidRDefault="00BC6C77" w:rsidP="003C17B7">
      <w:pPr>
        <w:spacing w:before="120" w:after="120"/>
        <w:outlineLvl w:val="0"/>
        <w:rPr>
          <w:rFonts w:eastAsia="Cambria"/>
          <w:b/>
          <w:color w:val="FF0000"/>
          <w:sz w:val="20"/>
          <w:szCs w:val="20"/>
        </w:rPr>
      </w:pPr>
      <w:r w:rsidRPr="00131976">
        <w:rPr>
          <w:rFonts w:eastAsia="Cambria"/>
          <w:b/>
          <w:color w:val="FF0000"/>
          <w:sz w:val="20"/>
          <w:szCs w:val="20"/>
        </w:rPr>
        <w:lastRenderedPageBreak/>
        <w:t>Optional</w:t>
      </w:r>
    </w:p>
    <w:p w14:paraId="3C57AABC" w14:textId="77777777" w:rsidR="00BC6C77" w:rsidRPr="00131976" w:rsidRDefault="00BC6C77" w:rsidP="003C17B7">
      <w:pPr>
        <w:numPr>
          <w:ilvl w:val="0"/>
          <w:numId w:val="6"/>
        </w:numPr>
        <w:spacing w:before="120" w:after="120"/>
        <w:ind w:left="360"/>
        <w:rPr>
          <w:rFonts w:cs="Tahoma"/>
          <w:sz w:val="20"/>
          <w:szCs w:val="20"/>
        </w:rPr>
      </w:pPr>
      <w:r w:rsidRPr="00131976">
        <w:rPr>
          <w:rFonts w:cs="Tahoma"/>
          <w:sz w:val="20"/>
          <w:szCs w:val="20"/>
        </w:rPr>
        <w:t>Write the solution for the following problem:</w:t>
      </w:r>
    </w:p>
    <w:p w14:paraId="0A3DB435" w14:textId="77777777" w:rsidR="00BC6C77" w:rsidRPr="00131976" w:rsidRDefault="00BC6C77" w:rsidP="003C17B7">
      <w:pPr>
        <w:spacing w:before="120" w:after="120"/>
        <w:rPr>
          <w:rFonts w:cs="Tahoma"/>
          <w:i/>
          <w:iCs/>
          <w:sz w:val="20"/>
          <w:szCs w:val="20"/>
        </w:rPr>
      </w:pPr>
      <w:r w:rsidRPr="00131976">
        <w:rPr>
          <w:rFonts w:cs="Tahoma"/>
          <w:sz w:val="20"/>
          <w:szCs w:val="20"/>
        </w:rPr>
        <w:t xml:space="preserve">Use as many 8’s and plus signs as you want to write a statement that equals 1000. </w:t>
      </w:r>
      <w:r w:rsidRPr="00131976">
        <w:rPr>
          <w:rFonts w:cs="Tahoma"/>
          <w:i/>
          <w:iCs/>
          <w:sz w:val="20"/>
          <w:szCs w:val="20"/>
        </w:rPr>
        <w:t xml:space="preserve">(You may not use -, x, or ÷). </w:t>
      </w:r>
      <w:r w:rsidRPr="00131976">
        <w:rPr>
          <w:rFonts w:cs="Tahoma"/>
          <w:sz w:val="20"/>
          <w:szCs w:val="20"/>
        </w:rPr>
        <w:t>How many different</w:t>
      </w:r>
      <w:r w:rsidRPr="00131976">
        <w:rPr>
          <w:rFonts w:cs="Tahoma"/>
          <w:sz w:val="20"/>
          <w:szCs w:val="20"/>
          <w:vertAlign w:val="superscript"/>
        </w:rPr>
        <w:t>*</w:t>
      </w:r>
      <w:r w:rsidRPr="00131976">
        <w:rPr>
          <w:rFonts w:cs="Tahoma"/>
          <w:sz w:val="20"/>
          <w:szCs w:val="20"/>
        </w:rPr>
        <w:t xml:space="preserve"> statements can you write that use only 8’s and plus signs to equal 1000? </w:t>
      </w:r>
      <w:r w:rsidRPr="00131976">
        <w:rPr>
          <w:rFonts w:cs="Tahoma"/>
          <w:i/>
          <w:iCs/>
          <w:sz w:val="20"/>
          <w:szCs w:val="20"/>
        </w:rPr>
        <w:t>*Exchanging the places of the terms does not count as “different” for this problem.</w:t>
      </w:r>
    </w:p>
    <w:p w14:paraId="7C371AC9" w14:textId="77777777" w:rsidR="00BC6C77" w:rsidRPr="00131976" w:rsidRDefault="00BC6C77" w:rsidP="003C17B7">
      <w:pPr>
        <w:widowControl w:val="0"/>
        <w:autoSpaceDE w:val="0"/>
        <w:autoSpaceDN w:val="0"/>
        <w:adjustRightInd w:val="0"/>
        <w:spacing w:before="120" w:after="120"/>
        <w:ind w:firstLine="360"/>
        <w:rPr>
          <w:rFonts w:cs="Tahoma"/>
          <w:color w:val="FF0000"/>
          <w:sz w:val="20"/>
          <w:szCs w:val="20"/>
        </w:rPr>
      </w:pPr>
    </w:p>
    <w:p w14:paraId="1A6743EA" w14:textId="2BCFE126" w:rsidR="00635887" w:rsidRPr="003C17B7" w:rsidRDefault="00BC6C77" w:rsidP="003C17B7">
      <w:pPr>
        <w:widowControl w:val="0"/>
        <w:autoSpaceDE w:val="0"/>
        <w:autoSpaceDN w:val="0"/>
        <w:adjustRightInd w:val="0"/>
        <w:spacing w:before="120" w:after="120"/>
        <w:ind w:left="360"/>
        <w:rPr>
          <w:rFonts w:cs="Tahoma"/>
          <w:sz w:val="20"/>
          <w:szCs w:val="20"/>
        </w:rPr>
      </w:pPr>
      <w:r w:rsidRPr="00131976">
        <w:rPr>
          <w:rFonts w:cs="Tahoma"/>
          <w:sz w:val="20"/>
          <w:szCs w:val="20"/>
        </w:rPr>
        <w:t>How is this problem similar to and different from the Three-Coin Problem (the problem you worked on at the beginning of the session)?</w:t>
      </w:r>
    </w:p>
    <w:sectPr w:rsidR="00635887" w:rsidRPr="003C17B7" w:rsidSect="00131976">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81EE" w14:textId="77777777" w:rsidR="00B93715" w:rsidRDefault="00B93715">
      <w:r>
        <w:separator/>
      </w:r>
    </w:p>
  </w:endnote>
  <w:endnote w:type="continuationSeparator" w:id="0">
    <w:p w14:paraId="2A2DF4E5" w14:textId="77777777" w:rsidR="00B93715" w:rsidRDefault="00B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DC3A" w14:textId="77777777" w:rsidR="00B93715" w:rsidRDefault="00B93715">
      <w:r>
        <w:separator/>
      </w:r>
    </w:p>
  </w:footnote>
  <w:footnote w:type="continuationSeparator" w:id="0">
    <w:p w14:paraId="41116899" w14:textId="77777777" w:rsidR="00B93715" w:rsidRDefault="00B9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60E4C">
      <w:trPr>
        <w:trHeight w:val="720"/>
      </w:trPr>
      <w:tc>
        <w:tcPr>
          <w:tcW w:w="2332" w:type="dxa"/>
          <w:vAlign w:val="center"/>
        </w:tcPr>
        <w:p w14:paraId="3C99FC3B" w14:textId="07C24AC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72796054" w14:textId="7605CEFE" w:rsidR="00EB3366" w:rsidRPr="00FE753A" w:rsidRDefault="00971B2F" w:rsidP="007F3A82">
          <w:pPr>
            <w:pStyle w:val="Header"/>
            <w:tabs>
              <w:tab w:val="clear" w:pos="4320"/>
              <w:tab w:val="clear" w:pos="8640"/>
            </w:tabs>
            <w:rPr>
              <w:rFonts w:cs="Tahoma"/>
              <w:sz w:val="20"/>
              <w:szCs w:val="20"/>
            </w:rPr>
          </w:pPr>
          <w:r>
            <w:rPr>
              <w:rFonts w:cs="Tahoma"/>
              <w:sz w:val="20"/>
              <w:szCs w:val="20"/>
            </w:rPr>
            <w:t>Supporting Reasoning and Explanations in Elementary Mathematics Teaching</w:t>
          </w:r>
        </w:p>
        <w:p w14:paraId="35717A51" w14:textId="7D7DEB02"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28107D">
            <w:rPr>
              <w:rFonts w:cs="Tahoma"/>
              <w:b/>
              <w:sz w:val="20"/>
              <w:szCs w:val="20"/>
            </w:rPr>
            <w:t>1</w:t>
          </w:r>
          <w:r w:rsidR="000B112B">
            <w:rPr>
              <w:rFonts w:cs="Tahoma"/>
              <w:b/>
              <w:sz w:val="20"/>
              <w:szCs w:val="20"/>
            </w:rPr>
            <w:t>:</w:t>
          </w:r>
          <w:r w:rsidR="0028107D">
            <w:rPr>
              <w:rFonts w:cs="Tahoma"/>
              <w:b/>
              <w:sz w:val="20"/>
              <w:szCs w:val="20"/>
            </w:rPr>
            <w:t xml:space="preserve"> Studying mathematics teaching with a focus on reasoning and explanation</w:t>
          </w:r>
          <w:r w:rsidR="000B112B">
            <w:rPr>
              <w:rFonts w:cs="Tahoma"/>
              <w:b/>
              <w:sz w:val="20"/>
              <w:szCs w:val="20"/>
            </w:rPr>
            <w:t xml:space="preserve"> </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4500" w:hanging="360"/>
      </w:pPr>
    </w:lvl>
    <w:lvl w:ilvl="1" w:tplc="851E395A">
      <w:start w:val="1"/>
      <w:numFmt w:val="lowerLetter"/>
      <w:lvlText w:val="%2)"/>
      <w:lvlJc w:val="left"/>
      <w:pPr>
        <w:tabs>
          <w:tab w:val="num" w:pos="5220"/>
        </w:tabs>
        <w:ind w:left="5220" w:hanging="360"/>
      </w:pPr>
      <w:rPr>
        <w:rFonts w:hint="default"/>
      </w:r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0479"/>
    <w:rsid w:val="00072A60"/>
    <w:rsid w:val="00075A93"/>
    <w:rsid w:val="00081A84"/>
    <w:rsid w:val="00092747"/>
    <w:rsid w:val="000A2DC3"/>
    <w:rsid w:val="000B112B"/>
    <w:rsid w:val="000C492B"/>
    <w:rsid w:val="000C54C3"/>
    <w:rsid w:val="000D030A"/>
    <w:rsid w:val="000D6DA5"/>
    <w:rsid w:val="000E0E21"/>
    <w:rsid w:val="000E4912"/>
    <w:rsid w:val="000F26B5"/>
    <w:rsid w:val="000F2F57"/>
    <w:rsid w:val="000F65D3"/>
    <w:rsid w:val="000F67F8"/>
    <w:rsid w:val="000F77B7"/>
    <w:rsid w:val="00110B54"/>
    <w:rsid w:val="001200DF"/>
    <w:rsid w:val="00122D8B"/>
    <w:rsid w:val="00126FF6"/>
    <w:rsid w:val="00130D6F"/>
    <w:rsid w:val="00131976"/>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2531B"/>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C17B7"/>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D6B6C"/>
    <w:rsid w:val="007E567F"/>
    <w:rsid w:val="007F3A82"/>
    <w:rsid w:val="007F6399"/>
    <w:rsid w:val="007F682B"/>
    <w:rsid w:val="00801CE3"/>
    <w:rsid w:val="008060E6"/>
    <w:rsid w:val="00815239"/>
    <w:rsid w:val="00815E33"/>
    <w:rsid w:val="008200CB"/>
    <w:rsid w:val="008207DA"/>
    <w:rsid w:val="00826140"/>
    <w:rsid w:val="00827FBE"/>
    <w:rsid w:val="00835B18"/>
    <w:rsid w:val="00842049"/>
    <w:rsid w:val="00843538"/>
    <w:rsid w:val="008457E3"/>
    <w:rsid w:val="00854456"/>
    <w:rsid w:val="00856918"/>
    <w:rsid w:val="008574F3"/>
    <w:rsid w:val="00865824"/>
    <w:rsid w:val="0087554A"/>
    <w:rsid w:val="00882C0A"/>
    <w:rsid w:val="0088738F"/>
    <w:rsid w:val="008909EF"/>
    <w:rsid w:val="0089175F"/>
    <w:rsid w:val="00892D26"/>
    <w:rsid w:val="008A34C2"/>
    <w:rsid w:val="008A6B36"/>
    <w:rsid w:val="008B0891"/>
    <w:rsid w:val="008B6027"/>
    <w:rsid w:val="008B6FFC"/>
    <w:rsid w:val="008B77A3"/>
    <w:rsid w:val="008B7AAD"/>
    <w:rsid w:val="008C228B"/>
    <w:rsid w:val="008C4DC5"/>
    <w:rsid w:val="008D0545"/>
    <w:rsid w:val="008D522E"/>
    <w:rsid w:val="009009C6"/>
    <w:rsid w:val="00901884"/>
    <w:rsid w:val="0090202A"/>
    <w:rsid w:val="0090274D"/>
    <w:rsid w:val="00904848"/>
    <w:rsid w:val="00906EB6"/>
    <w:rsid w:val="00920CA2"/>
    <w:rsid w:val="00940C25"/>
    <w:rsid w:val="00944471"/>
    <w:rsid w:val="009513CA"/>
    <w:rsid w:val="0095289D"/>
    <w:rsid w:val="00956D49"/>
    <w:rsid w:val="009601B9"/>
    <w:rsid w:val="009631B2"/>
    <w:rsid w:val="00971B2F"/>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72E1"/>
    <w:rsid w:val="00AE2576"/>
    <w:rsid w:val="00AE5B46"/>
    <w:rsid w:val="00AF1C0E"/>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3715"/>
    <w:rsid w:val="00B9459F"/>
    <w:rsid w:val="00BA782E"/>
    <w:rsid w:val="00BB0393"/>
    <w:rsid w:val="00BB14B0"/>
    <w:rsid w:val="00BB1C84"/>
    <w:rsid w:val="00BC2DB9"/>
    <w:rsid w:val="00BC6C77"/>
    <w:rsid w:val="00BD01F4"/>
    <w:rsid w:val="00BE101F"/>
    <w:rsid w:val="00BE61D1"/>
    <w:rsid w:val="00BE62D6"/>
    <w:rsid w:val="00BF26E5"/>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24066"/>
    <w:rsid w:val="00F306FE"/>
    <w:rsid w:val="00F43021"/>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11</cp:revision>
  <cp:lastPrinted>2011-06-07T16:03:00Z</cp:lastPrinted>
  <dcterms:created xsi:type="dcterms:W3CDTF">2018-04-05T16:13:00Z</dcterms:created>
  <dcterms:modified xsi:type="dcterms:W3CDTF">2018-08-13T14:42:00Z</dcterms:modified>
</cp:coreProperties>
</file>